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A3" w:rsidRDefault="00BF3FE9">
      <w:pPr>
        <w:rPr>
          <w:sz w:val="32"/>
          <w:szCs w:val="32"/>
        </w:rPr>
      </w:pPr>
      <w:r>
        <w:rPr>
          <w:sz w:val="32"/>
          <w:szCs w:val="32"/>
        </w:rPr>
        <w:t>Gradsko društvo Crvenog križa Vrlika</w:t>
      </w:r>
      <w:r>
        <w:rPr>
          <w:sz w:val="32"/>
          <w:szCs w:val="32"/>
        </w:rPr>
        <w:br/>
        <w:t>Trg fra Filipa Grabovca 6</w:t>
      </w:r>
    </w:p>
    <w:p w:rsidR="00A970A3" w:rsidRDefault="00CD7CBA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PLAN PRIHODA I RASHODA ZA 2023</w:t>
      </w:r>
      <w:bookmarkStart w:id="0" w:name="_GoBack"/>
      <w:bookmarkEnd w:id="0"/>
      <w:r w:rsidR="00BF3FE9">
        <w:rPr>
          <w:b/>
          <w:sz w:val="28"/>
          <w:szCs w:val="28"/>
        </w:rPr>
        <w:t>. GODINU</w:t>
      </w:r>
    </w:p>
    <w:tbl>
      <w:tblPr>
        <w:tblStyle w:val="TableGrid"/>
        <w:tblpPr w:leftFromText="180" w:rightFromText="180" w:vertAnchor="text" w:horzAnchor="page" w:tblpX="488" w:tblpY="528"/>
        <w:tblOverlap w:val="never"/>
        <w:tblW w:w="10032" w:type="dxa"/>
        <w:tblLook w:val="04A0" w:firstRow="1" w:lastRow="0" w:firstColumn="1" w:lastColumn="0" w:noHBand="0" w:noVBand="1"/>
      </w:tblPr>
      <w:tblGrid>
        <w:gridCol w:w="3540"/>
        <w:gridCol w:w="3216"/>
        <w:gridCol w:w="3276"/>
      </w:tblGrid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POZICIJA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2023.</w:t>
            </w:r>
          </w:p>
        </w:tc>
        <w:tc>
          <w:tcPr>
            <w:tcW w:w="3276" w:type="dxa"/>
          </w:tcPr>
          <w:p w:rsidR="00A970A3" w:rsidRDefault="00BF3FE9">
            <w:pPr>
              <w:jc w:val="center"/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PLAN 2023 </w:t>
            </w:r>
            <w:r>
              <w:rPr>
                <w:b/>
                <w:sz w:val="24"/>
                <w:szCs w:val="24"/>
                <w:lang w:val="hr-HR"/>
              </w:rPr>
              <w:br/>
              <w:t>(u eurima -fiksn teč konv. 7,53450)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PRIHODI (31+32+33+34+35+36+37)</w:t>
            </w:r>
          </w:p>
        </w:tc>
        <w:tc>
          <w:tcPr>
            <w:tcW w:w="3216" w:type="dxa"/>
          </w:tcPr>
          <w:p w:rsidR="00A970A3" w:rsidRDefault="00E352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315</w:t>
            </w:r>
            <w:r w:rsidR="00555599">
              <w:rPr>
                <w:b/>
              </w:rPr>
              <w:t>.</w:t>
            </w:r>
            <w:r>
              <w:rPr>
                <w:b/>
              </w:rPr>
              <w:t>867,72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41922,85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31 Prihodi od prodaje roba i pružanja usluga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3.000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398,16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32 Prihodi od članarina i članskih doprinosa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33 Prihodi po posebnim propisima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34 Prihodi od imovine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0,34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0,045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35 Prihodi od donacija</w:t>
            </w:r>
          </w:p>
        </w:tc>
        <w:tc>
          <w:tcPr>
            <w:tcW w:w="3216" w:type="dxa"/>
          </w:tcPr>
          <w:p w:rsidR="00A970A3" w:rsidRDefault="00CE3A5F" w:rsidP="00E35211">
            <w:pPr>
              <w:spacing w:after="0" w:line="240" w:lineRule="auto"/>
            </w:pPr>
            <w:r>
              <w:t xml:space="preserve">                                     </w:t>
            </w:r>
            <w:r w:rsidR="00E35211">
              <w:t>270</w:t>
            </w:r>
            <w:r>
              <w:t>.</w:t>
            </w:r>
            <w:r w:rsidR="00E35211">
              <w:t>073,72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35845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36 Ostali prihodi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408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54,150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37 Prihodi od povezanih neprofitnih organizacija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42.385,66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5.625,54</w:t>
            </w:r>
          </w:p>
        </w:tc>
      </w:tr>
      <w:tr w:rsidR="00A970A3">
        <w:tc>
          <w:tcPr>
            <w:tcW w:w="3540" w:type="dxa"/>
          </w:tcPr>
          <w:p w:rsidR="00A970A3" w:rsidRDefault="00A970A3">
            <w:pPr>
              <w:spacing w:after="0" w:line="240" w:lineRule="auto"/>
            </w:pPr>
          </w:p>
        </w:tc>
        <w:tc>
          <w:tcPr>
            <w:tcW w:w="3216" w:type="dxa"/>
          </w:tcPr>
          <w:p w:rsidR="00A970A3" w:rsidRDefault="00A970A3">
            <w:pPr>
              <w:spacing w:after="0" w:line="240" w:lineRule="auto"/>
              <w:jc w:val="right"/>
            </w:pPr>
          </w:p>
        </w:tc>
        <w:tc>
          <w:tcPr>
            <w:tcW w:w="3276" w:type="dxa"/>
          </w:tcPr>
          <w:p w:rsidR="00A970A3" w:rsidRDefault="00A970A3">
            <w:pPr>
              <w:rPr>
                <w:b/>
              </w:rPr>
            </w:pP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RASHODI (41+42+43+44+45+46+47)</w:t>
            </w:r>
          </w:p>
        </w:tc>
        <w:tc>
          <w:tcPr>
            <w:tcW w:w="3216" w:type="dxa"/>
          </w:tcPr>
          <w:p w:rsidR="00A970A3" w:rsidRDefault="00E35211" w:rsidP="00E352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317408,72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42127,37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41 Rashodi za radnike</w:t>
            </w:r>
          </w:p>
        </w:tc>
        <w:tc>
          <w:tcPr>
            <w:tcW w:w="3216" w:type="dxa"/>
          </w:tcPr>
          <w:p w:rsidR="00A970A3" w:rsidRDefault="00E35211">
            <w:pPr>
              <w:spacing w:after="0" w:line="240" w:lineRule="auto"/>
              <w:jc w:val="right"/>
            </w:pPr>
            <w:r>
              <w:t>232</w:t>
            </w:r>
            <w:r w:rsidR="00555599">
              <w:t>.</w:t>
            </w:r>
            <w:r>
              <w:t>393,76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30844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42 Materijalni rashodi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50.379,37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6.686,49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43 Rashodi amortizacije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12.567,50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1.667,99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44 Financijski rashodi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7.978,56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1.058,93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45 Donacije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14.089,53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1.870,00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46 Ostali rashodi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</w:pPr>
            <w:r>
              <w:t>47 Rashodi vezani uz financiranje povezanih neprofitnih organizacija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A970A3">
            <w:pPr>
              <w:spacing w:after="0" w:line="240" w:lineRule="auto"/>
            </w:pPr>
          </w:p>
        </w:tc>
        <w:tc>
          <w:tcPr>
            <w:tcW w:w="3216" w:type="dxa"/>
          </w:tcPr>
          <w:p w:rsidR="00A970A3" w:rsidRDefault="00A970A3">
            <w:pPr>
              <w:spacing w:after="0" w:line="240" w:lineRule="auto"/>
              <w:jc w:val="right"/>
            </w:pPr>
          </w:p>
        </w:tc>
        <w:tc>
          <w:tcPr>
            <w:tcW w:w="3276" w:type="dxa"/>
          </w:tcPr>
          <w:p w:rsidR="00A970A3" w:rsidRDefault="00A970A3">
            <w:pPr>
              <w:rPr>
                <w:b/>
              </w:rPr>
            </w:pP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UKUPNO PRIHODI</w:t>
            </w:r>
          </w:p>
        </w:tc>
        <w:tc>
          <w:tcPr>
            <w:tcW w:w="3216" w:type="dxa"/>
          </w:tcPr>
          <w:p w:rsidR="00A970A3" w:rsidRDefault="00E35211">
            <w:pPr>
              <w:spacing w:after="0" w:line="240" w:lineRule="auto"/>
              <w:jc w:val="right"/>
            </w:pPr>
            <w:r>
              <w:rPr>
                <w:b/>
              </w:rPr>
              <w:t>315867,72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41922,85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UKUPNO RASHODI</w:t>
            </w:r>
          </w:p>
        </w:tc>
        <w:tc>
          <w:tcPr>
            <w:tcW w:w="3216" w:type="dxa"/>
          </w:tcPr>
          <w:p w:rsidR="00A970A3" w:rsidRDefault="00E35211">
            <w:pPr>
              <w:spacing w:after="0" w:line="240" w:lineRule="auto"/>
              <w:jc w:val="right"/>
            </w:pPr>
            <w:r>
              <w:rPr>
                <w:b/>
              </w:rPr>
              <w:t>317408,72</w:t>
            </w:r>
          </w:p>
        </w:tc>
        <w:tc>
          <w:tcPr>
            <w:tcW w:w="3276" w:type="dxa"/>
          </w:tcPr>
          <w:p w:rsidR="00A970A3" w:rsidRDefault="00E35211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42127,37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VIŠAK PRIHODA RAZDOBLJA</w:t>
            </w:r>
          </w:p>
        </w:tc>
        <w:tc>
          <w:tcPr>
            <w:tcW w:w="3216" w:type="dxa"/>
          </w:tcPr>
          <w:p w:rsidR="00A970A3" w:rsidRDefault="00555599">
            <w:pPr>
              <w:spacing w:after="0" w:line="240" w:lineRule="auto"/>
            </w:pPr>
            <w:r>
              <w:t xml:space="preserve">                                                    0</w:t>
            </w:r>
          </w:p>
        </w:tc>
        <w:tc>
          <w:tcPr>
            <w:tcW w:w="3276" w:type="dxa"/>
          </w:tcPr>
          <w:p w:rsidR="00A970A3" w:rsidRDefault="0055559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PRENESENI VIŠAK IZ PRETHODNIH RAZDOBLJA</w:t>
            </w:r>
          </w:p>
        </w:tc>
        <w:tc>
          <w:tcPr>
            <w:tcW w:w="3216" w:type="dxa"/>
          </w:tcPr>
          <w:p w:rsidR="00A970A3" w:rsidRDefault="00555599">
            <w:pPr>
              <w:spacing w:after="0" w:line="240" w:lineRule="auto"/>
            </w:pPr>
            <w:r>
              <w:t xml:space="preserve">                                                  0</w:t>
            </w:r>
          </w:p>
        </w:tc>
        <w:tc>
          <w:tcPr>
            <w:tcW w:w="3276" w:type="dxa"/>
          </w:tcPr>
          <w:p w:rsidR="00A970A3" w:rsidRDefault="0055559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970A3">
        <w:tc>
          <w:tcPr>
            <w:tcW w:w="3540" w:type="dxa"/>
          </w:tcPr>
          <w:p w:rsidR="00A970A3" w:rsidRDefault="00BF3F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OSTATAK VIŠKA ZA PRIJENOS U NAREDNU GODINU </w:t>
            </w:r>
          </w:p>
        </w:tc>
        <w:tc>
          <w:tcPr>
            <w:tcW w:w="3216" w:type="dxa"/>
          </w:tcPr>
          <w:p w:rsidR="00A970A3" w:rsidRDefault="00BF3FE9">
            <w:pPr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3276" w:type="dxa"/>
          </w:tcPr>
          <w:p w:rsidR="00A970A3" w:rsidRDefault="00BF3FE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0</w:t>
            </w:r>
          </w:p>
        </w:tc>
      </w:tr>
    </w:tbl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Obrazloženje financijskog plana  2023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PRIHODI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31-Prihodi od prodaje robe I usluga obuhvaćaju prihode od dobrovoljnog darivanaj krvi sukladno očekivanom broju prikupljenih doza krvi u 2023 iznose -3000,00 kuna.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33-PRIHODI OD DONACIJA-obuhvaćaju prihode od donacija iz proračuna grad Vrlika</w:t>
      </w:r>
      <w:r w:rsidR="00CE3A5F">
        <w:rPr>
          <w:sz w:val="28"/>
          <w:szCs w:val="28"/>
        </w:rPr>
        <w:t xml:space="preserve"> za rav</w:t>
      </w:r>
      <w:r w:rsidR="00345D36">
        <w:rPr>
          <w:sz w:val="28"/>
          <w:szCs w:val="28"/>
        </w:rPr>
        <w:t>n</w:t>
      </w:r>
      <w:r w:rsidR="00CE3A5F">
        <w:rPr>
          <w:sz w:val="28"/>
          <w:szCs w:val="28"/>
        </w:rPr>
        <w:t>ateljicu125.393,76</w:t>
      </w:r>
      <w:r>
        <w:rPr>
          <w:sz w:val="28"/>
          <w:szCs w:val="28"/>
        </w:rPr>
        <w:t xml:space="preserve">,prihode od trgovačkih društava,prihode od građana te ostale prihode od donacija.Sukladno planu rad za 2023 iz ovih prihoda planiraju se provesti akcije humanitarno-socijalnog programa ,programa za Zdravlje,prevencija I sigurnost te rad s volonterima.Ostali prihodi se očekuju od donacija rabljene materijalne pomoći, doniranje hrane u programu posrednika u doniranju I ostale donacije u iznosu </w:t>
      </w:r>
      <w:r w:rsidR="00E35211">
        <w:rPr>
          <w:sz w:val="28"/>
          <w:szCs w:val="28"/>
        </w:rPr>
        <w:t>od -270</w:t>
      </w:r>
      <w:r w:rsidR="00555599">
        <w:rPr>
          <w:sz w:val="28"/>
          <w:szCs w:val="28"/>
        </w:rPr>
        <w:t>.</w:t>
      </w:r>
      <w:r w:rsidR="00E35211">
        <w:rPr>
          <w:sz w:val="28"/>
          <w:szCs w:val="28"/>
        </w:rPr>
        <w:t>073,72</w:t>
      </w:r>
      <w:r>
        <w:rPr>
          <w:sz w:val="28"/>
          <w:szCs w:val="28"/>
        </w:rPr>
        <w:t>kn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36 – OSTALI PRIHODI –obuhvaćaju očekivane refundacije troškova proizašle iz zajedničkih aktivnosti s ostalim društvima Crvenog križa-408,00kuna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 xml:space="preserve">37-PRIHODI OD POVEZANIH NEPROFITNIH ORGANIZACIJA-obuhvaćaju </w:t>
      </w:r>
      <w:r w:rsidR="00555599">
        <w:rPr>
          <w:sz w:val="28"/>
          <w:szCs w:val="28"/>
        </w:rPr>
        <w:t xml:space="preserve"> 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Pomoć županijskog društva za isplatu lizinga, služba traženja- 42.385,66</w:t>
      </w: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BF3FE9">
      <w:pPr>
        <w:rPr>
          <w:b/>
          <w:sz w:val="28"/>
          <w:szCs w:val="28"/>
        </w:rPr>
      </w:pPr>
      <w:r>
        <w:rPr>
          <w:b/>
          <w:sz w:val="28"/>
          <w:szCs w:val="28"/>
        </w:rPr>
        <w:t>RASHODI</w:t>
      </w:r>
    </w:p>
    <w:p w:rsidR="00A970A3" w:rsidRDefault="00BF3FE9">
      <w:pPr>
        <w:rPr>
          <w:sz w:val="28"/>
          <w:szCs w:val="28"/>
        </w:rPr>
      </w:pPr>
      <w:r>
        <w:rPr>
          <w:b/>
          <w:sz w:val="28"/>
          <w:szCs w:val="28"/>
        </w:rPr>
        <w:t>41-RASHODI ZA ZAPOSLENE</w:t>
      </w:r>
      <w:r>
        <w:rPr>
          <w:sz w:val="28"/>
          <w:szCs w:val="28"/>
        </w:rPr>
        <w:t>- Gra</w:t>
      </w:r>
      <w:r w:rsidR="00555599">
        <w:rPr>
          <w:sz w:val="28"/>
          <w:szCs w:val="28"/>
        </w:rPr>
        <w:t>dsko društvo ima uposlenu ravnateljicu</w:t>
      </w:r>
      <w:r>
        <w:rPr>
          <w:sz w:val="28"/>
          <w:szCs w:val="28"/>
        </w:rPr>
        <w:t xml:space="preserve"> u prvom tromjesečju očekujemo nastav</w:t>
      </w:r>
      <w:r w:rsidR="00555599">
        <w:rPr>
          <w:sz w:val="28"/>
          <w:szCs w:val="28"/>
        </w:rPr>
        <w:t>a</w:t>
      </w:r>
      <w:r>
        <w:rPr>
          <w:sz w:val="28"/>
          <w:szCs w:val="28"/>
        </w:rPr>
        <w:t>k Projekta Zaželi faza III tako da veći dio sredstava i</w:t>
      </w:r>
      <w:r w:rsidR="00143448">
        <w:rPr>
          <w:sz w:val="28"/>
          <w:szCs w:val="28"/>
        </w:rPr>
        <w:t>de na plaće u iznosu -232</w:t>
      </w:r>
      <w:r w:rsidR="00345D36">
        <w:rPr>
          <w:sz w:val="28"/>
          <w:szCs w:val="28"/>
        </w:rPr>
        <w:t>.</w:t>
      </w:r>
      <w:r w:rsidR="00143448">
        <w:rPr>
          <w:sz w:val="28"/>
          <w:szCs w:val="28"/>
        </w:rPr>
        <w:t>393,76</w:t>
      </w:r>
      <w:r>
        <w:rPr>
          <w:sz w:val="28"/>
          <w:szCs w:val="28"/>
        </w:rPr>
        <w:t xml:space="preserve"> kn.</w:t>
      </w:r>
    </w:p>
    <w:p w:rsidR="00A970A3" w:rsidRDefault="00BF3FE9">
      <w:pPr>
        <w:rPr>
          <w:sz w:val="28"/>
          <w:szCs w:val="28"/>
        </w:rPr>
      </w:pPr>
      <w:r>
        <w:rPr>
          <w:b/>
          <w:sz w:val="28"/>
          <w:szCs w:val="28"/>
        </w:rPr>
        <w:t>42-MATERIJALNI RASH</w:t>
      </w:r>
      <w:r w:rsidR="003A765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DI</w:t>
      </w:r>
      <w:r>
        <w:rPr>
          <w:sz w:val="28"/>
          <w:szCs w:val="28"/>
        </w:rPr>
        <w:t xml:space="preserve"> – sastoje se od naknada troškova zaposlenicima,volonterima,potom rashoda za usluge,material I energiju te ostalih nespomenutih rashoda u iznosu</w:t>
      </w:r>
      <w:r w:rsidR="003A765C">
        <w:rPr>
          <w:sz w:val="28"/>
          <w:szCs w:val="28"/>
        </w:rPr>
        <w:t xml:space="preserve"> 50</w:t>
      </w:r>
      <w:r w:rsidR="00345D36">
        <w:rPr>
          <w:sz w:val="28"/>
          <w:szCs w:val="28"/>
        </w:rPr>
        <w:t>.</w:t>
      </w:r>
      <w:r w:rsidR="003A765C">
        <w:rPr>
          <w:sz w:val="28"/>
          <w:szCs w:val="28"/>
        </w:rPr>
        <w:t>379,39</w:t>
      </w:r>
      <w:r w:rsidR="004002F6">
        <w:rPr>
          <w:sz w:val="28"/>
          <w:szCs w:val="28"/>
        </w:rPr>
        <w:t>.Naknada troška zaposlenima 7</w:t>
      </w:r>
      <w:r w:rsidR="00345D36">
        <w:rPr>
          <w:sz w:val="28"/>
          <w:szCs w:val="28"/>
        </w:rPr>
        <w:t>.</w:t>
      </w:r>
      <w:r w:rsidR="004002F6">
        <w:rPr>
          <w:sz w:val="28"/>
          <w:szCs w:val="28"/>
        </w:rPr>
        <w:t>8130</w:t>
      </w:r>
      <w:r>
        <w:rPr>
          <w:sz w:val="28"/>
          <w:szCs w:val="28"/>
        </w:rPr>
        <w:t xml:space="preserve">,00.Rashodi za usluge obuhvaćaju usluge tekućeg održavanja,usluge telefona promidžbe komunalne usluge,knjigovodstveni servis u iznosu </w:t>
      </w:r>
      <w:r>
        <w:rPr>
          <w:sz w:val="28"/>
          <w:szCs w:val="28"/>
        </w:rPr>
        <w:lastRenderedPageBreak/>
        <w:t>15.443,88.Rashodi za material I energiju obuhvaća uredski material,materijal za čišćenje energija sitni invenatar -21.432,24</w:t>
      </w:r>
    </w:p>
    <w:p w:rsidR="00A970A3" w:rsidRDefault="00BF3FE9">
      <w:pPr>
        <w:rPr>
          <w:sz w:val="28"/>
          <w:szCs w:val="28"/>
        </w:rPr>
      </w:pPr>
      <w:r>
        <w:rPr>
          <w:b/>
          <w:sz w:val="28"/>
          <w:szCs w:val="28"/>
        </w:rPr>
        <w:t>43-RASHODI AMORTIZACIJE</w:t>
      </w:r>
      <w:r>
        <w:rPr>
          <w:sz w:val="28"/>
          <w:szCs w:val="28"/>
        </w:rPr>
        <w:t>- odnosi se na dugotrajnu</w:t>
      </w:r>
      <w:r w:rsidR="00345D36">
        <w:rPr>
          <w:sz w:val="28"/>
          <w:szCs w:val="28"/>
        </w:rPr>
        <w:t xml:space="preserve"> imovinu koju društvo posjeduje I to u iznosu 12567,50</w:t>
      </w:r>
    </w:p>
    <w:p w:rsidR="00A970A3" w:rsidRDefault="00A970A3">
      <w:pPr>
        <w:rPr>
          <w:sz w:val="28"/>
          <w:szCs w:val="28"/>
        </w:rPr>
      </w:pPr>
    </w:p>
    <w:p w:rsidR="00A970A3" w:rsidRDefault="00BF3FE9">
      <w:pPr>
        <w:rPr>
          <w:sz w:val="28"/>
          <w:szCs w:val="28"/>
        </w:rPr>
      </w:pPr>
      <w:r>
        <w:rPr>
          <w:b/>
          <w:sz w:val="28"/>
          <w:szCs w:val="28"/>
        </w:rPr>
        <w:t>44-FINANCIJSKI RASHODI</w:t>
      </w:r>
      <w:r>
        <w:rPr>
          <w:sz w:val="28"/>
          <w:szCs w:val="28"/>
        </w:rPr>
        <w:t xml:space="preserve">-odnosi se na usluge platnog </w:t>
      </w:r>
      <w:r w:rsidR="00520019">
        <w:rPr>
          <w:sz w:val="28"/>
          <w:szCs w:val="28"/>
        </w:rPr>
        <w:t xml:space="preserve">prometa I banaka planiraju se u </w:t>
      </w:r>
      <w:r>
        <w:rPr>
          <w:sz w:val="28"/>
          <w:szCs w:val="28"/>
        </w:rPr>
        <w:t>iznosu od 7.978,56 kn.</w:t>
      </w:r>
    </w:p>
    <w:p w:rsidR="00A970A3" w:rsidRDefault="00A970A3">
      <w:pPr>
        <w:rPr>
          <w:sz w:val="28"/>
          <w:szCs w:val="28"/>
        </w:rPr>
      </w:pPr>
    </w:p>
    <w:p w:rsidR="00A970A3" w:rsidRDefault="00BF3FE9">
      <w:pPr>
        <w:rPr>
          <w:sz w:val="28"/>
          <w:szCs w:val="28"/>
        </w:rPr>
      </w:pPr>
      <w:r>
        <w:rPr>
          <w:b/>
          <w:sz w:val="28"/>
          <w:szCs w:val="28"/>
        </w:rPr>
        <w:t>45-TEKUĆE DONACIJE</w:t>
      </w:r>
      <w:r>
        <w:rPr>
          <w:sz w:val="28"/>
          <w:szCs w:val="28"/>
        </w:rPr>
        <w:t>-odnosi se na donacije ustanovama,udrugama i građanima planiraju se u iznosu 14.089,56</w:t>
      </w:r>
    </w:p>
    <w:p w:rsidR="00A970A3" w:rsidRDefault="00A970A3">
      <w:pPr>
        <w:rPr>
          <w:sz w:val="28"/>
          <w:szCs w:val="28"/>
        </w:rPr>
      </w:pP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46- OSTALI RASHODI – nisu planirani</w:t>
      </w:r>
    </w:p>
    <w:p w:rsidR="00A970A3" w:rsidRDefault="00BF3FE9">
      <w:pPr>
        <w:rPr>
          <w:sz w:val="28"/>
          <w:szCs w:val="28"/>
        </w:rPr>
      </w:pPr>
      <w:r>
        <w:rPr>
          <w:sz w:val="28"/>
          <w:szCs w:val="28"/>
        </w:rPr>
        <w:t>47-RASHODI VEZANI UZ FINANCIRANJE POVEZANIH NEPROFITNIH ORGANIZACIJA-nisu planirani</w:t>
      </w:r>
    </w:p>
    <w:p w:rsidR="00A970A3" w:rsidRDefault="004002F6">
      <w:pPr>
        <w:rPr>
          <w:sz w:val="28"/>
          <w:szCs w:val="28"/>
        </w:rPr>
      </w:pPr>
      <w:r>
        <w:rPr>
          <w:sz w:val="28"/>
          <w:szCs w:val="28"/>
        </w:rPr>
        <w:t>Društvo ima još jednu godinu za otplatu lizinga .</w:t>
      </w:r>
    </w:p>
    <w:p w:rsidR="004002F6" w:rsidRDefault="004002F6">
      <w:pPr>
        <w:rPr>
          <w:sz w:val="28"/>
          <w:szCs w:val="28"/>
        </w:rPr>
      </w:pPr>
    </w:p>
    <w:p w:rsidR="004002F6" w:rsidRDefault="004002F6">
      <w:pPr>
        <w:rPr>
          <w:sz w:val="28"/>
          <w:szCs w:val="28"/>
        </w:rPr>
      </w:pPr>
    </w:p>
    <w:p w:rsidR="004002F6" w:rsidRDefault="004002F6">
      <w:pPr>
        <w:rPr>
          <w:sz w:val="28"/>
          <w:szCs w:val="28"/>
        </w:rPr>
      </w:pPr>
    </w:p>
    <w:p w:rsidR="004002F6" w:rsidRDefault="00400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Ravnateljica Zdravka Plazonić</w:t>
      </w:r>
    </w:p>
    <w:p w:rsidR="004002F6" w:rsidRDefault="004002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-----------------------------------------------</w:t>
      </w: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p w:rsidR="00A970A3" w:rsidRDefault="00A970A3">
      <w:pPr>
        <w:rPr>
          <w:sz w:val="28"/>
          <w:szCs w:val="28"/>
        </w:rPr>
      </w:pPr>
    </w:p>
    <w:sectPr w:rsidR="00A97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7A" w:rsidRDefault="00C7427A">
      <w:pPr>
        <w:spacing w:line="240" w:lineRule="auto"/>
      </w:pPr>
      <w:r>
        <w:separator/>
      </w:r>
    </w:p>
  </w:endnote>
  <w:endnote w:type="continuationSeparator" w:id="0">
    <w:p w:rsidR="00C7427A" w:rsidRDefault="00C74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7A" w:rsidRDefault="00C7427A">
      <w:pPr>
        <w:spacing w:after="0"/>
      </w:pPr>
      <w:r>
        <w:separator/>
      </w:r>
    </w:p>
  </w:footnote>
  <w:footnote w:type="continuationSeparator" w:id="0">
    <w:p w:rsidR="00C7427A" w:rsidRDefault="00C742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20"/>
    <w:rsid w:val="000F289C"/>
    <w:rsid w:val="00143448"/>
    <w:rsid w:val="00200DBD"/>
    <w:rsid w:val="002814F9"/>
    <w:rsid w:val="00345D36"/>
    <w:rsid w:val="003A765C"/>
    <w:rsid w:val="003C0B7B"/>
    <w:rsid w:val="003D145E"/>
    <w:rsid w:val="003D2699"/>
    <w:rsid w:val="004002F6"/>
    <w:rsid w:val="00473A2E"/>
    <w:rsid w:val="00520019"/>
    <w:rsid w:val="0054074E"/>
    <w:rsid w:val="00555599"/>
    <w:rsid w:val="006573EE"/>
    <w:rsid w:val="00677A8D"/>
    <w:rsid w:val="00686E3D"/>
    <w:rsid w:val="006C69DB"/>
    <w:rsid w:val="007010FF"/>
    <w:rsid w:val="00734920"/>
    <w:rsid w:val="00763EF8"/>
    <w:rsid w:val="00805DCF"/>
    <w:rsid w:val="0085745E"/>
    <w:rsid w:val="00A970A3"/>
    <w:rsid w:val="00BF3FE9"/>
    <w:rsid w:val="00C035C2"/>
    <w:rsid w:val="00C7427A"/>
    <w:rsid w:val="00CD7CBA"/>
    <w:rsid w:val="00CE3A5F"/>
    <w:rsid w:val="00DB43F6"/>
    <w:rsid w:val="00E35211"/>
    <w:rsid w:val="00F0734E"/>
    <w:rsid w:val="00FD40FD"/>
    <w:rsid w:val="594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004"/>
  <w15:docId w15:val="{CB4A14F5-F2F5-4452-B3BA-30E7C9BD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D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crveni kriz vrlika</dc:creator>
  <cp:lastModifiedBy>crveni kriz vrlika</cp:lastModifiedBy>
  <cp:revision>10</cp:revision>
  <cp:lastPrinted>2022-12-01T10:11:00Z</cp:lastPrinted>
  <dcterms:created xsi:type="dcterms:W3CDTF">2022-11-10T12:05:00Z</dcterms:created>
  <dcterms:modified xsi:type="dcterms:W3CDTF">2025-11-12T08:11:00Z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A7382516D54042D89364F726E473E726</vt:lpwstr>
  </property>
</Properties>
</file>